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SN-5350 (Sachsen) — Zu Artikel 2 Absatz 2 und 3:</w:t>
      </w:r>
    </w:p>
    <w:p>
      <w:r>
        <w:rPr>
          <w:color w:val="555555"/>
          <w:sz w:val="18"/>
        </w:rPr>
        <w:t xml:space="preserve">Vertrag des Freistaates Sachsen mit dem Landesverband der Jüdischen Gemeinden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Beteiligung des Freistaates an der Betreuung verwaister jüdischer Friedhöfe erfolgt grundsätzlich nach Maßgabe der Absprache vom 21. Juni 1957 betreffend die Durchführung der Betreuung verwaister jüdischer Friedhöfe [Anlage 1 der Verwaltungsvorschrift des Sächsischen Staatsministeriums für Soziales über die Betreuung der verwaisten Friedhöfe der ehemaligen jüdischen Gemeinden im Freistaat Sachsen ( VwV verwaiste jüdische Friedhöfe ) vom 27. Dezember 2002 (SächsABl. 2003 S. 60), zuletzt enthalten in der Verwaltungsvorschrift vom 30. November 2023 (SächsABl. SDr. S. S 306), in der jeweils geltenden Fassung].</w:t>
      </w:r>
    </w:p>
    <w:p>
      <w:r>
        <w:rPr>
          <w:color w:val="555555"/>
          <w:sz w:val="17"/>
        </w:rPr>
        <w:t xml:space="preserve">Zitiervorschlag: Volltext SN-5350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https://recht.nulegal.eu/gesetze/SN-5350/volltext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