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SN-5350 (Sachsen) — Religionsunterricht</w:t>
      </w:r>
    </w:p>
    <w:p>
      <w:r>
        <w:rPr>
          <w:color w:val="555555"/>
          <w:sz w:val="18"/>
        </w:rPr>
        <w:t xml:space="preserve">Vertrag des Freistaates Sachsen mit dem Landesverband der Jüdischen Gemeinden</w:t>
      </w:r>
    </w:p>
    <w:p>
      <w:r>
        <w:rPr>
          <w:color w:val="555555"/>
          <w:sz w:val="18"/>
        </w:rPr>
        <w:t xml:space="preserve">Landesrecht Sachsen</w:t>
      </w:r>
    </w:p>
    <w:p>
      <w:r>
        <w:rPr>
          <w:color w:val="555555"/>
          <w:sz w:val="18"/>
        </w:rPr>
        <w:t xml:space="preserve">Stand: 26.08.2026 (konsolidierte Textfassung, kein amtliches Inkrafttretensdatum)</w:t>
      </w:r>
    </w:p>
    <w:p>
      <w:r>
        <w:t xml:space="preserve">Der Freistaat gewährleistet an ausgewählten öffentlichen Schulen die Erteilung eines regelmäßigen jüdischen Religionsunterrichtes als ordentliches Lehrfach gemäß Artikel 7 Absatz 3 des Grundgesetzes , Artikel 105 der Verfassung des Freistaates Sachsen und § 18 des Schulgesetzes für den Freistaat Sachsen in der Fassung der Bekanntmachung vom 27. September 2018 (SächsGVBl. S. 648), das zuletzt durch Artikel 8 Absatz 8 des Gesetzes vom 6. Juli 2023 (SächsGVBl. S. 467) geändert worden ist. Richtlinien, Lehrpläne und Lehrbücher für den jüdischen Religionsunterricht bedürfen der Zustimmung des Landesverbandes. Bei der staatlichen Aus-, Fort- und Weiterbildung von Religionslehrern und bei der Aufsicht über den Religionsunterricht ist der Landesverband nach Maßgabe einer besonderen Vereinbarung zu beteiligen. Die Gestellung von haupt- und nebenamtlichen Religionslehrern, die auf Dauer oder befristet vom Landesverband abgeordnet werden, bleibt einer besonderen Regelung vorbehalten. Lehrkräfte im Fach Religion bedürfen vor ihrer ersten Anstellung einer Bevollmächtigung des Landesverbandes, mit der die Lehrerlaubnis im Fach Religion zuerkannt wird.</w:t>
      </w:r>
    </w:p>
    <w:p>
      <w:r>
        <w:rPr>
          <w:color w:val="555555"/>
          <w:sz w:val="17"/>
        </w:rPr>
        <w:t xml:space="preserve">Zitiervorschlag: Artikel 7 SN-5350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