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SN-5348 (Sachsen)</w:t>
      </w:r>
    </w:p>
    <w:p>
      <w:r>
        <w:rPr>
          <w:color w:val="555555"/>
          <w:sz w:val="18"/>
        </w:rPr>
        <w:t xml:space="preserve">Staatsvertrag über die Führung des Schiffsbauregisters für Binnenschiffe bei dem Amtsgericht Magdeburg und für Seeschiffe bei dem Amtsgericht Rostock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Führung des Registers für Schiffsbauwerke (§ 65 Abs. 1 Satz 1, §§ 73a und 73b der Schiffsregisterordnung in der Fassung vom 26. Mai 1994, BGBl. I S. 1133) wird für das Gebiet der Länder Mecklenburg-Vorpommern, Sachsen, Sachsen-Anhalt und Thüringen übertragen</w:t>
      </w:r>
    </w:p>
    <w:p>
      <w:r>
        <w:t xml:space="preserve">a) dem Amtsgericht Magdeburg für Schiffsbauwerke, die für die Binnenschiffahrt bestimmt sind,</w:t>
      </w:r>
    </w:p>
    <w:p>
      <w:r>
        <w:t xml:space="preserve">b) dem Amtsgericht Rostock für Schiffsbauwerke, die für die Seeschiffahrt bestimmt sind.</w:t>
      </w:r>
    </w:p>
    <w:p>
      <w:r>
        <w:rPr>
          <w:color w:val="555555"/>
          <w:sz w:val="17"/>
        </w:rPr>
        <w:t xml:space="preserve">Zitiervorschlag: § 1 SN-5348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