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SN-5347 (Sachsen)</w:t>
      </w:r>
    </w:p>
    <w:p>
      <w:r>
        <w:rPr>
          <w:color w:val="555555"/>
          <w:sz w:val="18"/>
        </w:rPr>
        <w:t xml:space="preserve">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bedarf der Ratifikation. Die Ratifikationsurkunden werden bei der Staatskanzlei des Landes Sachsen-Anhalt hinterlegt. Der Staatsvertrag tritt mit dem Ersten des Monats in Kraft, der auf den Tag der Hinterlegung der letzten Ratifikationsurkunde folgt.Die Staatskanzlei des Landes Sachsen-Anhalt teilt den übrigen an dem Staatsvertrag beteiligten Ländern die Hinterlegung der letzten Ratifikationsurkunde mit.</w:t>
      </w:r>
    </w:p>
    <w:p>
      <w:r>
        <w:t xml:space="preserve">Wismar, den 6. März 1995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Prof. Dr. Eggert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Heitmann</w:t>
      </w:r>
    </w:p>
    <w:p>
      <w:r>
        <w:t xml:space="preserve">Für das Land-Sachsen-Anhalt</w:t>
      </w:r>
    </w:p>
    <w:p>
      <w:r>
        <w:t xml:space="preserve">Für den Ministerpräsidenten des Landes Sachsen-Anhalt</w:t>
      </w:r>
    </w:p>
    <w:p>
      <w:r>
        <w:t xml:space="preserve">Die Ministerin der Justiz des Landes Sachsen-Anhalt</w:t>
      </w:r>
    </w:p>
    <w:p>
      <w:r>
        <w:t xml:space="preserve">Schubert</w:t>
      </w:r>
    </w:p>
    <w:p>
      <w:r>
        <w:t xml:space="preserve">Für den Freistaat Thüringen</w:t>
      </w:r>
    </w:p>
    <w:p>
      <w:r>
        <w:t xml:space="preserve">Der Ministerpräsident</w:t>
      </w:r>
    </w:p>
    <w:p>
      <w:r>
        <w:t xml:space="preserve">vertreten durch den Minister</w:t>
      </w:r>
    </w:p>
    <w:p>
      <w:r>
        <w:t xml:space="preserve">für Justiz und Bundesangelegenheiten</w:t>
      </w:r>
    </w:p>
    <w:p>
      <w:r>
        <w:t xml:space="preserve">Kretschmer</w:t>
      </w:r>
    </w:p>
    <w:p>
      <w:r>
        <w:rPr>
          <w:color w:val="555555"/>
          <w:sz w:val="17"/>
        </w:rPr>
        <w:t xml:space="preserve">Zitiervorschlag: § 4 SN-5347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