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SN-5347 (Sachsen)</w:t>
      </w:r>
    </w:p>
    <w:p>
      <w:r>
        <w:rPr>
          <w:color w:val="555555"/>
          <w:sz w:val="18"/>
        </w:rPr>
        <w:t xml:space="preserve">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Sachsen-Anhalt verzichtet auf Kostenausgleichsansprüche gegen die an diesem Staatsvertrag beteiligten Länder; es erhält die Einnahmen des Amtsgerichts Magdeburg aus den ihm übertragenen Angelegenheiten.</w:t>
      </w:r>
    </w:p>
    <w:p>
      <w:r>
        <w:rPr>
          <w:color w:val="555555"/>
          <w:sz w:val="17"/>
        </w:rPr>
        <w:t xml:space="preserve">Zitiervorschlag: § 2 SN-5347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