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SN-5347 (Sachsen)</w:t>
      </w:r>
    </w:p>
    <w:p>
      <w:r>
        <w:rPr>
          <w:color w:val="555555"/>
          <w:sz w:val="18"/>
        </w:rPr>
        <w:t xml:space="preserve">Staatsvertrag über die Zuständigkeit des Amtsgerichts Magdeburg für das Binnenschiffsregister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Führung des Binnenschiffsregisters wird dem Amtsgericht Magdeburg für das Gebiet der Länder Mecklenburg-Vorpommern, Sachsen, Sachsen-Anhalt und Thüringen übertragen.</w:t>
      </w:r>
    </w:p>
    <w:p>
      <w:r>
        <w:rPr>
          <w:color w:val="555555"/>
          <w:sz w:val="17"/>
        </w:rPr>
        <w:t xml:space="preserve">Zitiervorschlag: § 1 SN-5347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