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SN-5346 (Sachsen)</w:t>
      </w:r>
    </w:p>
    <w:p>
      <w:r>
        <w:rPr>
          <w:color w:val="555555"/>
          <w:sz w:val="18"/>
        </w:rPr>
        <w:t xml:space="preserve">Staatsvertrag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Staatsvertrag kann mit einer Frist von sechs Monaten zum Ende eines Kalenderjahres gekündigt werden, und zwar sowohl von dem Land Mecklenburg-Vorpommern gegenüber allen oder einzelnen Ländern als auch von den einzelnen Ländern gegenüber dem Land Mecklenburg-Vorpommern.</w:t>
      </w:r>
    </w:p>
    <w:p>
      <w:r>
        <w:rPr>
          <w:color w:val="555555"/>
          <w:sz w:val="17"/>
        </w:rPr>
        <w:t xml:space="preserve">Zitiervorschlag: § 3 SN-5346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