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SN-5346 (Sachsen)</w:t>
      </w:r>
    </w:p>
    <w:p>
      <w:r>
        <w:rPr>
          <w:color w:val="555555"/>
          <w:sz w:val="18"/>
        </w:rPr>
        <w:t xml:space="preserve">Staatsvertrag über die Zuständigkeit des Amtsgerichts Rostock für das Seeschiffsregister und im Dispacheverfahren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Führung des Seeschiffsregisters und die gerichtlichen Aufgaben im Verfahren zur Aufmachung der Dispache werden dem Amtsgericht Rostock für das Gebiet der Länder Brandenburg, Mecklenburg-Vorpommern, Sachsen, Sachsen-Anhalt und Thüringen übertragen.</w:t>
      </w:r>
    </w:p>
    <w:p>
      <w:r>
        <w:rPr>
          <w:color w:val="555555"/>
          <w:sz w:val="17"/>
        </w:rPr>
        <w:t xml:space="preserve">Zitiervorschlag: § 1 SN-5346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https://recht.nulegal.eu/gesetze/SN-5346/1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