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9 SN-5345 (Sachsen) — Geschäftstätigkeit</w:t>
      </w:r>
    </w:p>
    <w:p>
      <w:r>
        <w:rPr>
          <w:color w:val="555555"/>
          <w:sz w:val="18"/>
        </w:rPr>
        <w:t xml:space="preserve">Staatsvertrag zwischen dem Freistaat Sachsen und dem Freistaat Thüringen über die gemeinsame berufsständische Versorgung der Mitglieder der Sächsischen Landesapothekerkammer und der Mitglieder der Landesapothekerkammer Thüringen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Versorgungswerk ist für seine Mitglieder auf der Grundlage der Gegenseitigkeit ausschließlich zum allgemeinen Nutzen und nicht zu Erwerbszwecken tätig.</w:t>
      </w:r>
    </w:p>
    <w:p>
      <w:r>
        <w:t xml:space="preserve">(2) Das Versorgungswerk bestreitet seine Aufwendungen aus eigenen Mitteln. Die Erträge und das Vermögen des Versorgungswerks dürfen nur zur Erfüllung des Versorgungsauftrages unter Einschluß des Ausgleichs der notwendigen Verwaltungskosten verwendet werden.</w:t>
      </w:r>
    </w:p>
    <w:p>
      <w:r>
        <w:t xml:space="preserve">(3) Das Versorgungswerk erstellt unter Beachtung der versicherungsaufsichtsrechtlichen Bestimmungen den Jahresabschluß und den Lagebericht und legt diese sowie den Bericht des Abschlußprüfers der sächsischen Versicherungsaufsichtsbehörde vor.</w:t>
      </w:r>
    </w:p>
    <w:p>
      <w:r>
        <w:t xml:space="preserve">(4) Das Vermögen des Versorgungswerks soll entsprechend dem regionalen Anteil am Gesamtbeitragsaufkommen in den Freistaaten Sachsen und Thüringen angelegt werden. Die gesetzlichen und aufsichtsrechtlichen Vorschriften zur Vermögensanlage bleiben unberührt.</w:t>
      </w:r>
    </w:p>
    <w:p>
      <w:r>
        <w:rPr>
          <w:color w:val="555555"/>
          <w:sz w:val="17"/>
        </w:rPr>
        <w:t xml:space="preserve">Zitiervorschlag: Artikel 9 SN-5345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https://recht.nulegal.eu/gesetze/SN-5345/9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