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 SN-5345 (Sachsen) — Aufgaben der Vertreterversammlung</w:t>
      </w:r>
    </w:p>
    <w:p>
      <w:r>
        <w:rPr>
          <w:color w:val="555555"/>
          <w:sz w:val="18"/>
        </w:rPr>
        <w:t xml:space="preserve">Staatsvertrag zwischen dem Freistaat Sachsen und dem Freistaat Thüringen über die gemeinsame berufsständische Versorgung der Mitglieder der Sächsischen Landesapothekerkammer und der Mitglieder der Landesapothekerkammer Thüringen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Vertreterversammlung obliegen die grundsätzlichen Angelegenheiten des Versorgungswerks, insbesondere</w:t>
      </w:r>
    </w:p>
    <w:p>
      <w:r>
        <w:t xml:space="preserve">1. der Erlaß der Satzung und deren Änderung,</w:t>
      </w:r>
    </w:p>
    <w:p>
      <w:r>
        <w:t xml:space="preserve">2. die Wahl und die Abberufung der Mitglieder des Verwaltungsausschusses und des Aufsichtsausschusses,</w:t>
      </w:r>
    </w:p>
    <w:p>
      <w:r>
        <w:t xml:space="preserve">3. die Entgegennahme des Lageberichts und die Feststellung des Jahresabschlusses,</w:t>
      </w:r>
    </w:p>
    <w:p>
      <w:r>
        <w:t xml:space="preserve">4. die Entlastung der Mitglieder des Verwaltungsausschusses und des Aufsichtsausschusses,</w:t>
      </w:r>
    </w:p>
    <w:p>
      <w:r>
        <w:t xml:space="preserve">5. die Anpassung der Versorgungsanrechte nach Artikel 13 Abs. 2,</w:t>
      </w:r>
    </w:p>
    <w:p>
      <w:r>
        <w:t xml:space="preserve">6. die Regelung des Auslagenersatzes und der Aufwandsentschädigung nach Artikel 4 Abs. 5,</w:t>
      </w:r>
    </w:p>
    <w:p>
      <w:r>
        <w:t xml:space="preserve">7. die Aufstellung von Richtlinien für den Abschluß von Überleitungsvereinbarungen mit anderen berufsständischen Versorgungswerken,</w:t>
      </w:r>
    </w:p>
    <w:p>
      <w:r>
        <w:t xml:space="preserve">8. die Aufstellung von Richtlinien für die Anlage des Vermögens sowie den Erwerb, die Bebauung und die Veräußerung von Grundstücken.</w:t>
      </w:r>
    </w:p>
    <w:p>
      <w:r>
        <w:t xml:space="preserve">(2) Durch Satzung können bestimmte Angelegenheiten dem Verwaltungsausschuß oder dem Aufsichtsausschuß zur selbständigen Erledigung übertragen werden. Dies gilt nicht für Angelegenheiten nach Absatz 1 Nrn. 1 bis 8.</w:t>
      </w:r>
    </w:p>
    <w:p>
      <w:r>
        <w:rPr>
          <w:color w:val="555555"/>
          <w:sz w:val="17"/>
        </w:rPr>
        <w:t xml:space="preserve">Zitiervorschlag: Artikel 5 SN-5345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https://recht.nulegal.eu/gesetze/SN-5345/5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