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21 SN-5345 (Sachsen) — Inkrafttreten</w:t>
      </w:r>
    </w:p>
    <w:p>
      <w:r>
        <w:rPr>
          <w:color w:val="555555"/>
          <w:sz w:val="18"/>
        </w:rPr>
        <w:t xml:space="preserve">Staatsvertrag zwischen dem Freistaat Sachsen und dem Freistaat Thüringen über die gemeinsame berufsständische Versorgung der Mitglieder der Sächsischen Landesapothekerkammer und der Mitglieder der Landesapothekerkammer Thüringen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Dieser Staatsvertrag tritt nach Zustimmung der verfassungsmäßig berufenen Organe der vertragschließenden Länder am ersten Tag des Monats in Kraft, der auf den Austausch der Ratifikationsurkunden folgt.</w:t>
      </w:r>
    </w:p>
    <w:p>
      <w:r>
        <w:t xml:space="preserve">Erfurt, den 14. Juni 1994</w:t>
      </w:r>
    </w:p>
    <w:p>
      <w:r>
        <w:t xml:space="preserve">Für den Freistaat Sachsen</w:t>
      </w:r>
    </w:p>
    <w:p>
      <w:r>
        <w:t xml:space="preserve">Der Staatsminister</w:t>
      </w:r>
    </w:p>
    <w:p>
      <w:r>
        <w:t xml:space="preserve">für Soziales, Gesundheit</w:t>
      </w:r>
    </w:p>
    <w:p>
      <w:r>
        <w:t xml:space="preserve">und Familie</w:t>
      </w:r>
    </w:p>
    <w:p>
      <w:r>
        <w:t xml:space="preserve">Dr. Hans Geisler</w:t>
      </w:r>
    </w:p>
    <w:p>
      <w:r>
        <w:t xml:space="preserve">Für den Freistaat Thüringen</w:t>
      </w:r>
    </w:p>
    <w:p>
      <w:r>
        <w:t xml:space="preserve">Der Staatsminister</w:t>
      </w:r>
    </w:p>
    <w:p>
      <w:r>
        <w:t xml:space="preserve">für Soziales und Gesundheit</w:t>
      </w:r>
    </w:p>
    <w:p>
      <w:r>
        <w:t xml:space="preserve">Dr. Frank-Michael Pietzsch</w:t>
      </w:r>
    </w:p>
    <w:p>
      <w:r>
        <w:rPr>
          <w:color w:val="555555"/>
          <w:sz w:val="17"/>
        </w:rPr>
        <w:t xml:space="preserve">Zitiervorschlag: Artikel 21 SN-5345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https://recht.nulegal.eu/gesetze/SN-5345/21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