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2 SN-5345 (Sachsen) — Aufgaben</w:t>
      </w:r>
    </w:p>
    <w:p>
      <w:r>
        <w:rPr>
          <w:color w:val="555555"/>
          <w:sz w:val="18"/>
        </w:rPr>
        <w:t xml:space="preserve">Staatsvertrag zwischen dem Freistaat Sachsen und dem Freistaat Thüringen über die gemeinsame berufsständische Versorgung der Mitglieder der Sächsischen Landesapothekerkammer und der Mitglieder der Landesapothekerkammer Thüringen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Versorgungswerk hat die Aufgabe, bei verminderter Erwerbsfähigkeit und im Alter seinen Mitgliedern sowie im Todesfall den Hinterbliebenen der Mitglieder Versorgung zu gewähren.</w:t>
      </w:r>
    </w:p>
    <w:p>
      <w:r>
        <w:rPr>
          <w:color w:val="555555"/>
          <w:sz w:val="17"/>
        </w:rPr>
        <w:t xml:space="preserve">Zitiervorschlag: Artikel 2 SN-5345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https://recht.nulegal.eu/gesetze/SN-5345/2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