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17 SN-5345 (Sachsen) — Vollstreckung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Sächsische Landesapothekerkammer ist Vollstreckungsbehörde für das Versorgungswerk im Sinne des Verwaltungsvollstreckungsrechts. Das Vollstreckungsverfahren richtet sich nach dem für den Ort der Vollstreckungshandlung geltenden Verwaltungsvollstreckungsrecht.</w:t>
      </w:r>
    </w:p>
    <w:p>
      <w:r>
        <w:t xml:space="preserve">(2) Nebenforderungen können mit der Hauptforderung beigetrieben werden, wenn zuvor auf die Zahlungspflicht dem Grunde nach schriftlich hingewiesen worden ist.</w:t>
      </w:r>
    </w:p>
    <w:p>
      <w:r>
        <w:rPr>
          <w:color w:val="555555"/>
          <w:sz w:val="17"/>
        </w:rPr>
        <w:t xml:space="preserve">Zitiervorschlag: Artikel 17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