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13 SN-5345 (Sachsen) — Leistungen</w:t>
      </w:r>
    </w:p>
    <w:p>
      <w:r>
        <w:rPr>
          <w:color w:val="555555"/>
          <w:sz w:val="18"/>
        </w:rPr>
        <w:t xml:space="preserve">Staatsvertrag zwischen dem Freistaat Sachsen und dem Freistaat Thüringen über die gemeinsame berufsständische Versorgung der Mitglieder der Sächsischen Landesapothekerkammer und der Mitglieder der Landesapothekerkammer Thüringen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Versorgungswerk kann nach Maßgabe der Satzung wiederkehrende Versorgungsleistungen und einmalige Leistungen mit Rechtsanspruch sowie freiwillige Leistungen gewähren. Die Leistungen werden durch Bescheid festgesetzt.</w:t>
      </w:r>
    </w:p>
    <w:p>
      <w:r>
        <w:t xml:space="preserve">(2) Die Versorgungsanrechte sollen nach Maßgabe der Satzung der allgemeinen wirtschaftlichen Entwicklung unter Berücksichtigung der finanziellen Lage des Versorgungswerks angepaßt werden.</w:t>
      </w:r>
    </w:p>
    <w:p>
      <w:r>
        <w:rPr>
          <w:color w:val="555555"/>
          <w:sz w:val="17"/>
        </w:rPr>
        <w:t xml:space="preserve">Zitiervorschlag: Artikel 13 SN-5345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https://recht.nulegal.eu/gesetze/SN-5345/13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