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11 SN-5345 (Sachsen) — Mitgliedschaft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Pflichtmitglieder des Versorgungswerks sind alle nicht berufsunfähigen Mitglieder der Sächsischen Landesapothekerkammer und der Landesapothekerkammer Thüringen. Pflichtmitglieder sind auch nicht berufsunfähige Pharmaziepraktikanten, die Mitglieder einer der beiden Kammern sind.</w:t>
      </w:r>
    </w:p>
    <w:p>
      <w:r>
        <w:t xml:space="preserve">(2) Die Satzung kann Ausnahmen und Befreiungen von der Pflichtmitgliedschaft vorsehen, insbesondere wenn</w:t>
      </w:r>
    </w:p>
    <w:p>
      <w:r>
        <w:t xml:space="preserve">1. die Berufstätigkeit in fortgeschrittenem Alter aufgenommen wird,</w:t>
      </w:r>
    </w:p>
    <w:p>
      <w:r>
        <w:t xml:space="preserve">2. eine Mitgliedschaft in einem anderen berufsständischen Versorgungswerk besteht,</w:t>
      </w:r>
    </w:p>
    <w:p>
      <w:r>
        <w:t xml:space="preserve">3. unselbständig tätige Berufsangehörige nach den Vorschriften des Sechsten Buches Sozialgesetzbuch versicherungsfrei sind,</w:t>
      </w:r>
    </w:p>
    <w:p>
      <w:r>
        <w:t xml:space="preserve">4. der Berufsangehörige nicht Deutscher im Sinne von Artikel 116 des Grundgesetzes ist,</w:t>
      </w:r>
    </w:p>
    <w:p>
      <w:r>
        <w:t xml:space="preserve">5. die Berufstätigkeit nur vorübergehend ausgeübt oder für einen Zeitraum von wenigstens sechs Monaten eingestellt wird.</w:t>
      </w:r>
    </w:p>
    <w:p>
      <w:r>
        <w:t xml:space="preserve">(3) Ausgeschiedene Pflichtmitglieder können nach Maßgabe der Satzung freiwillige Mitglieder bleiben. Der Eintritt des Versorgungsfalls beendet die Mitgliedschaft nicht.</w:t>
      </w:r>
    </w:p>
    <w:p>
      <w:r>
        <w:rPr>
          <w:color w:val="555555"/>
          <w:sz w:val="17"/>
        </w:rPr>
        <w:t xml:space="preserve">Zitiervorschlag: Artikel 11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