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SN-5345 (Sachsen) — Rechtsstellung, Name und Sitz des Versorgungswerks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Sächsischen Landesapothekerkammer wird die berufsständische Versorgungseinrichtung für Mitglieder der Sächsischen Landesapothekerkammer und der Landesapothekerkammer Thüringen geführt. Sie trägt die Bezeichnung „Sächsisch-Thüringische Apothekerversorgung“ (Versorgungswerk).</w:t>
      </w:r>
    </w:p>
    <w:p>
      <w:r>
        <w:t xml:space="preserve">(2) Das Versorgungswerk ist eine rechtlich unselbständige Einrichtung der Sächsischen Landesapothekerkammer. Seine Mittel sind zweckgebunden und gesondert vom übrigen Vermögen der Sächsischen Landesapothekerkammer zu verwalten.</w:t>
      </w:r>
    </w:p>
    <w:p>
      <w:r>
        <w:t xml:space="preserve">(3) Das Versorgungswerk hat seinen Sitz im Freistaat Sachsen. Das Nähere regelt die Satzung.</w:t>
      </w:r>
    </w:p>
    <w:p>
      <w:r>
        <w:t xml:space="preserve">(4) Auf das Versorgungswerk findet das im Freistaat Sachsen geltende Recht Anwendung.</w:t>
      </w:r>
    </w:p>
    <w:p>
      <w:r>
        <w:rPr>
          <w:color w:val="555555"/>
          <w:sz w:val="17"/>
        </w:rPr>
        <w:t xml:space="preserve">Zitiervorschlag: Artikel 1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