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SN-5341 (Sachsen)</w:t>
      </w:r>
    </w:p>
    <w:p>
      <w:r>
        <w:rPr>
          <w:color w:val="555555"/>
          <w:sz w:val="18"/>
        </w:rPr>
        <w:t xml:space="preserve">Staatsvertrag zwischen dem Freistaat Sachsen und dem Freistaat Thüringen über die Aufnahme der Mitglieder der Architektenkammer Thüringen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vertreten durch den Ministerpräsidenten, dieser vertreten durch den Staatsminister des Innern,</w:t>
      </w:r>
    </w:p>
    <w:p>
      <w:r>
        <w:t xml:space="preserve">und</w:t>
      </w:r>
    </w:p>
    <w:p>
      <w:r>
        <w:t xml:space="preserve">der Freistaat Thüringen,</w:t>
      </w:r>
    </w:p>
    <w:p>
      <w:r>
        <w:t xml:space="preserve">vertreten durch den Minister für Wirtschaft und Infrastruktur,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SN-5341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