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SN-5341 (Sachsen) — Berufsständische Selbstverwaltungsgremien</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Organe des Versorgungswerkes entsenden die Mitglieder der Architektenkammer Thüringen die ihrem Anteil am Teilnehmerbestand des Versorgungswerkes entsprechende Anzahl an Vertretern, mindestens jeweils ein Mitglied. Im übrigen gilt die Satzung des Versorgungswerkes.</w:t>
      </w:r>
    </w:p>
    <w:p>
      <w:r>
        <w:t xml:space="preserve">(2) Das Versorgungswerk lädt zu den Sitzungen der Vertreterversammlung die nach dem jeweiligen Landesrecht zuständigen Rechtsaufsichtsbehörden und die für das Versicherungswesen zuständigen obersten Landesbehörden ein.</w:t>
      </w:r>
    </w:p>
    <w:p>
      <w:r>
        <w:rPr>
          <w:color w:val="555555"/>
          <w:sz w:val="17"/>
        </w:rPr>
        <w:t xml:space="preserve">Zitiervorschlag: Artikel 4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