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Artikel 2 SN-5341 (Sachsen) — Rechte und Pflichten</w:t>
      </w:r>
    </w:p>
    <w:p>
      <w:r>
        <w:rPr>
          <w:color w:val="555555"/>
          <w:sz w:val="18"/>
        </w:rPr>
        <w:t xml:space="preserve">Staatsvertrag zwischen dem Freistaat Sachsen und dem Freistaat Thüringen über die Aufnahme der Mitglieder der Architektenkammer Thüringen in das Versorgungswerk der Architektenkammer Sachsen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Rechte und Pflichten der Teilnehmer und Versorgungsberechtigten der Architektenkammer Thüringen im Versorgungswerk ergeben sich aus diesem Staatsvertrag und der Satzung des Versorgungswerkes in ihrer jeweils geltenden Fassung.</w:t>
      </w:r>
    </w:p>
    <w:p>
      <w:r>
        <w:t xml:space="preserve">(2) Soweit die Satzung des Versorgungswerkes Rechtswirkungen an die Zugehörigkeit zur Architektenkammer Sachsen knüpft, ergeben sich die gleichen Rechtswirkungen vorbehaltlich des Artikel 6 dieses Staatsvertrages auch für die Mitglieder der Architektenkammer Thüringen.</w:t>
      </w:r>
    </w:p>
    <w:p>
      <w:r>
        <w:rPr>
          <w:color w:val="555555"/>
          <w:sz w:val="17"/>
        </w:rPr>
        <w:t xml:space="preserve">Zitiervorschlag: Artikel 2 SN-5341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https://recht.nulegal.eu/gesetze/SN-5341/2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