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12 SN-5340 (Sachsen) — Eignungsanerkennung</w:t>
      </w:r>
    </w:p>
    <w:p>
      <w:r>
        <w:rPr>
          <w:color w:val="555555"/>
          <w:sz w:val="18"/>
        </w:rPr>
        <w:t xml:space="preserve">Staatsvertrag über die Änderung des Staatsvertrages über das Fernunterrichtswesen vom 16. Februar 1978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Überprüfung von Fernlehrgängen nach Artikel 2 Abs. 1 Nr. 4 gelten die Vorschriften des Artikels 7 Nr. 1 bis 3 und des Artikels 8 entsprechend. Fernlehrgänge, die diesen Anforderungen genügen, werden als geeignet anerkannt.</w:t>
      </w:r>
    </w:p>
    <w:p>
      <w:r>
        <w:rPr>
          <w:color w:val="555555"/>
          <w:sz w:val="17"/>
        </w:rPr>
        <w:t xml:space="preserve">Zitiervorschlag: Artikel 12 SN-5340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https://recht.nulegal.eu/gesetze/SN-5340/12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