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SN-5339 (Sachsen)</w:t>
      </w:r>
    </w:p>
    <w:p>
      <w:r>
        <w:rPr>
          <w:color w:val="555555"/>
          <w:sz w:val="18"/>
        </w:rPr>
        <w:t xml:space="preserve">Abkommen über die erweiterte Zuständigkeit der mit Aufgaben des Strafvollzugs beauftragten Bediensteten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mit der Wahrnehmung von Aufgaben des Strafvollzugs beauftragten Bediensteten haben bei der Vornahme von Amtshandlungen in einem anderen Land die gleichen Befugnisse wie die entsprechenden Bediensteten dieses Landes.</w:t>
      </w:r>
    </w:p>
    <w:p>
      <w:r>
        <w:rPr>
          <w:color w:val="555555"/>
          <w:sz w:val="17"/>
        </w:rPr>
        <w:t xml:space="preserve">Zitiervorschlag: Artikel 2 SN-5339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https://recht.nulegal.eu/gesetze/SN-5339/2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