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SN-5303 (Sachsen) — In-Kraft-Treten</w:t>
      </w:r>
    </w:p>
    <w:p>
      <w:r>
        <w:rPr>
          <w:color w:val="555555"/>
          <w:sz w:val="18"/>
        </w:rPr>
        <w:t xml:space="preserve">Verordnung des Sächsischen Staatsministeriums für Umwelt und Landwirtschaft zur Änderung der Abgrenzung des Nationalparkes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14. September 1999</w:t>
      </w:r>
    </w:p>
    <w:p>
      <w:r>
        <w:t xml:space="preserve">Der Staatsminister</w:t>
      </w:r>
    </w:p>
    <w:p>
      <w:r>
        <w:t xml:space="preserve">für Umwelt und Landwirtschaft</w:t>
      </w:r>
    </w:p>
    <w:p>
      <w:r>
        <w:t xml:space="preserve">Dr. Rolf Jähnichen</w:t>
      </w:r>
    </w:p>
    <w:p>
      <w:r>
        <w:rPr>
          <w:color w:val="555555"/>
          <w:sz w:val="17"/>
        </w:rPr>
        <w:t xml:space="preserve">Zitiervorschlag: § 3 SN-5303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https://recht.nulegal.eu/gesetze/SN-5303/3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