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SN-5136 (Sachsen)</w:t>
      </w:r>
    </w:p>
    <w:p>
      <w:r>
        <w:rPr>
          <w:color w:val="555555"/>
          <w:sz w:val="18"/>
        </w:rPr>
        <w:t xml:space="preserve">Gesetz zur Übertragung der Aufgaben nach dem Energieverbrauchskennzeichnungsgesetz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Mai 2004</w:t>
      </w:r>
    </w:p>
    <w:p>
      <w:r>
        <w:rPr>
          <w:color w:val="555555"/>
          <w:sz w:val="17"/>
        </w:rPr>
        <w:t xml:space="preserve">Zitiervorschlag: Eingangsformel SN-5136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https://recht.nulegal.eu/gesetze/SN-5136/eingangsformel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