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SN-5136 (Sachsen) — Zuständigkeit</w:t>
      </w:r>
    </w:p>
    <w:p>
      <w:r>
        <w:rPr>
          <w:color w:val="555555"/>
          <w:sz w:val="18"/>
        </w:rPr>
        <w:t xml:space="preserve">Gesetz zur Übertragung der Aufgaben nach dem Energieverbrauchskennzeichnungsgesetz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Landkreise und Kreisfreien Städte sind zuständig für den Vollzug des Gesetzes zur Umsetzung von Rechtsakten der Europäischen Gemeinschaften auf dem Gebiet der Energieeinsparung bei Geräten und Kraftfahrzeugen ( Energieverbrauchskennzeichnungsgesetz – EnVKG ) vom 30. Januar 2002 (BGBl. I S. 570), geändert durch Artikel 135 der Verordnung vom 25. November 2003 (BGBl. I S. 2304, 2320), in der jeweils geltenden Fassung, und der auf seiner Grundlage ergangenen Rechtsverordnungen. Für die übertragene Aufgabe gewährt der Freistaat Sachsen den Landkreisen und Kreisfreien Städten 0,0079 EUR jährlich je Einwohner.</w:t>
      </w:r>
    </w:p>
    <w:p>
      <w:r>
        <w:rPr>
          <w:color w:val="555555"/>
          <w:sz w:val="17"/>
        </w:rPr>
        <w:t xml:space="preserve">Zitiervorschlag: § 1 SN-5136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https://recht.nulegal.eu/gesetze/SN-5136/1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