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SN-5030 (Sachsen) — Inkrafttreten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Auslegefrist in Kraft.</w:t>
      </w:r>
    </w:p>
    <w:p>
      <w:r>
        <w:t xml:space="preserve">Chemnitz, den 9. März 1998</w:t>
      </w:r>
    </w:p>
    <w:p>
      <w:r>
        <w:t xml:space="preserve">Regierungspräsidium Chemnitz</w:t>
      </w:r>
    </w:p>
    <w:p>
      <w:r>
        <w:t xml:space="preserve">Altensleben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8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