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SN-5030 (Sachsen) — Ordnungswidrigkeiten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gemäß § 61 Abs. 1 Nr. 1 --&gt;SächsNatSchG --&gt; handelt, wer vorsätzlich oder fahrlässig gegen Verbote gemäß § 4 dieser Verordnung verstößt, sofern keine Ausnahme im Sinne des § 5 vorliegt oder keine Befreiung gemäß § 6 erteilt wurde.</w:t>
      </w:r>
    </w:p>
    <w:p>
      <w:r>
        <w:t xml:space="preserve">Ordnungswidrig in diesem Sinne handelt auch, wer vorsätzlich oder fahrlässig den Umfang einer ihm nach § 6 der Verordnung erteilten Befreiung überschreitet.</w:t>
      </w:r>
    </w:p>
    <w:p>
      <w:r>
        <w:rPr>
          <w:color w:val="555555"/>
          <w:sz w:val="17"/>
        </w:rPr>
        <w:t xml:space="preserve">Zitiervorschlag: § 7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