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SN-5030 (Sachsen) — Befreiung</w:t>
      </w:r>
    </w:p>
    <w:p>
      <w:r>
        <w:rPr>
          <w:color w:val="555555"/>
          <w:sz w:val="18"/>
        </w:rPr>
        <w:t xml:space="preserve">Verordnung des Regierungspräsidiums Chemnitz zum Schutz gefährdeter Vogelarten auf der Talsperre Pöhl im Vogtlandkreis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und Geboten dieser Verordnung kann nach § 53 --&gt;SächsNatSchG --&gt; auf Antrag Befreiung erteilt werden.</w:t>
      </w:r>
    </w:p>
    <w:p>
      <w:r>
        <w:rPr>
          <w:color w:val="555555"/>
          <w:sz w:val="17"/>
        </w:rPr>
        <w:t xml:space="preserve">Zitiervorschlag: § 6 SN-5030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https://recht.nulegal.eu/gesetze/SN-5030/6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