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SN-5030 (Sachsen) — Verbote</w:t>
      </w:r>
    </w:p>
    <w:p>
      <w:r>
        <w:rPr>
          <w:color w:val="555555"/>
          <w:sz w:val="18"/>
        </w:rPr>
        <w:t xml:space="preserve">Verordnung des Regierungspräsidiums Chemnitz zum Schutz gefährdeter Vogelarten auf der Talsperre Pöhl im Vogtlandkreis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In dem Geltungsbereich sind während des in § 1 Abs. 3 der Verordnung genannten Zeitraums alle Handlungen verboten, die zu einer Beeinträchtigung, Gefährdung oder Störung der sich dort aufhaltenden Vogelarten führen können.</w:t>
      </w:r>
    </w:p>
    <w:p>
      <w:r>
        <w:t xml:space="preserve">(2) Insbesondere ist es verboten:</w:t>
      </w:r>
    </w:p>
    <w:p>
      <w:r>
        <w:t xml:space="preserve">zu surfen;</w:t>
      </w:r>
    </w:p>
    <w:p>
      <w:r>
        <w:t xml:space="preserve">Boote und andere Wasserfahrzeuge einzubringen;</w:t>
      </w:r>
    </w:p>
    <w:p>
      <w:r>
        <w:t xml:space="preserve">Tauchsport zu betreiben;</w:t>
      </w:r>
    </w:p>
    <w:p>
      <w:r>
        <w:t xml:space="preserve">Flug-, Fahr- und Bootsmodelle sowie vergleichbare Freizeitgeräte zu betreiben;</w:t>
      </w:r>
    </w:p>
    <w:p>
      <w:r>
        <w:t xml:space="preserve">den nach § 2 der Verordnung geschützten Vögeln nachzustellen, sie anzulocken, sie zu fangen, zu verletzen oder zu töten sowie zu bejagen;</w:t>
      </w:r>
    </w:p>
    <w:p>
      <w:r>
        <w:t xml:space="preserve">die dem Jagdrecht unterliegenden Wasserwildarten im Geltungszeitraum der Verordnung zu bejagen;</w:t>
      </w:r>
    </w:p>
    <w:p>
      <w:r>
        <w:t xml:space="preserve">Hunde frei laufen zu lassen.</w:t>
      </w:r>
    </w:p>
    <w:p>
      <w:r>
        <w:rPr>
          <w:color w:val="555555"/>
          <w:sz w:val="17"/>
        </w:rPr>
        <w:t xml:space="preserve">Zitiervorschlag: § 4 SN-5030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https://recht.nulegal.eu/gesetze/SN-5030/4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