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Eingangsformel SN-5028 (Sachsen)</w:t>
      </w:r>
    </w:p>
    <w:p>
      <w:r>
        <w:rPr>
          <w:color w:val="555555"/>
          <w:sz w:val="18"/>
        </w:rPr>
        <w:t xml:space="preserve">Verordnung des Regierungspräsidiums Leipzig zur Änderung der Abgrenzung des Landschaftsschutzgebietes „Partheaue“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Aufgrund von § 19 und § 48 Abs. 2 Nr. 1 des Sächsischen Gesetzes über Naturschutz und Landschaftspflege (Sächsisches Naturschutz-gesetz – SächsNatSchG ) in der Fassung der Bekanntmachung vom 11. Oktober 1994 (SächsGVBl. S. 1601, 1995 S. 106), das zuletzt durch Gesetz vom 9. September 2005 (SächsGVBl. S. 259) geändert worden ist, wird verordnet:</w:t>
      </w:r>
    </w:p>
    <w:p>
      <w:r>
        <w:rPr>
          <w:color w:val="555555"/>
          <w:sz w:val="17"/>
        </w:rPr>
        <w:t xml:space="preserve">Zitiervorschlag: Eingangsformel SN-5028 (Sachsen)</w:t>
      </w:r>
    </w:p>
    <w:p>
      <w:r>
        <w:rPr>
          <w:color w:val="555555"/>
          <w:sz w:val="17"/>
        </w:rPr>
        <w:t xml:space="preserve">Quelle: revosax, abgerufen 26.08.2026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https://recht.nulegal.eu/gesetze/SN-5028/eingangsformel</w:t>
      </w:r>
    </w:p>
    <w:p>
      <w:r>
        <w:rPr>
          <w:color w:val="767676"/>
          <w:sz w:val="15"/>
        </w:rPr>
        <w:t xml:space="preserve">nu:legal · recht.nulegal.eu · Nicht-amtliche Lesefassung. Amtliche Fassung: sk.sachsen.de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