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SN-5026 (Sachsen) — In-Kraft-Treten</w:t>
      </w:r>
    </w:p>
    <w:p>
      <w:r>
        <w:rPr>
          <w:color w:val="555555"/>
          <w:sz w:val="18"/>
        </w:rPr>
        <w:t xml:space="preserve">Verordnung des Regierungspräsidiums Dresden zur Änderung der Abgrenzung des Landschaftsschutzgebietes „Naherholungsgebiet Hoyerswerda“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</w:t>
      </w:r>
    </w:p>
    <w:p>
      <w:r>
        <w:t xml:space="preserve">Dresden, den 30. Mai 2006</w:t>
      </w:r>
    </w:p>
    <w:p>
      <w:r>
        <w:t xml:space="preserve">Regierungspräsidium Dresden</w:t>
      </w:r>
    </w:p>
    <w:p>
      <w:r>
        <w:t xml:space="preserve">Dr. Hasenpflug</w:t>
      </w:r>
    </w:p>
    <w:p>
      <w:r>
        <w:t xml:space="preserve">Regierungspräsident</w:t>
      </w:r>
    </w:p>
    <w:p>
      <w:r>
        <w:rPr>
          <w:color w:val="555555"/>
          <w:sz w:val="17"/>
        </w:rPr>
        <w:t xml:space="preserve">Zitiervorschlag: § 3 SN-5026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https://recht.nulegal.eu/gesetze/SN-5026/3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