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SN-5022 (Sachsen) — Gegenstand der Umzonierung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Pobershau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Gemarkung Pobershau</w:t>
      </w:r>
    </w:p>
    <w:p>
      <w:r>
        <w:t xml:space="preserve">1. Nachfolgend aufgeführte Flächen werden aus der Schutzzone II in die Entwicklungszone überführt:</w:t>
      </w:r>
    </w:p>
    <w:p>
      <w:r>
        <w:t xml:space="preserve">1.1 Fläche südöstlich der Bergstraße vom Abzweig Steinbruchweg in östliche Richtung über den Höhenweg und Katzensteinweg.</w:t>
      </w:r>
    </w:p>
    <w:p>
      <w:r>
        <w:t xml:space="preserve">Diese Fläche umfasst folgende Flurstücke:</w:t>
      </w:r>
    </w:p>
    <w:p>
      <w:r>
        <w:t xml:space="preserve">334a teilweise, 335a teilweise, 337/2 teilweise, 337/3 teilweise, 348 teilweise, 349/1, 349/2, 375/1, 375/3 teilweise, 383/1 teilweise, 383/2, 383/3, 383/4, 392a, 393 teilweise, 518/2 teilweise und 524/1 teilweise.</w:t>
      </w:r>
    </w:p>
    <w:p>
      <w:r>
        <w:t xml:space="preserve">Die Größe dieser Fläche beträgt zirka 3,81 Hektar.</w:t>
      </w:r>
    </w:p>
    <w:p>
      <w:r>
        <w:t xml:space="preserve">1.2 Fläche am Ortsausgang des geschlossenen Ortsteils Pobershau, Richtung Rittersberg vor dem Bahndamm, westlich des Baches „Rote Pockau“. Es handelt sich um die Straße „Ratsseite-Wagenbachtal“.</w:t>
      </w:r>
    </w:p>
    <w:p>
      <w:r>
        <w:t xml:space="preserve">Diese Fläche umfasst folgende Flurstücke:</w:t>
      </w:r>
    </w:p>
    <w:p>
      <w:r>
        <w:t xml:space="preserve">220/1 teilweise, 227/1 teilweise, 227/3, 227/4, 227a, 498/4 teilweise, 498/5, 498/7 teilweise und 500 teilweise.</w:t>
      </w:r>
    </w:p>
    <w:p>
      <w:r>
        <w:t xml:space="preserve">Die Größe dieser Fläche beträgt zirka 1,11 Hektar.</w:t>
      </w:r>
    </w:p>
    <w:p>
      <w:r>
        <w:t xml:space="preserve">2. Nachfolgend aufgeführte Flächen werden aus der Entwicklungszone in die Schutzzone II überführt:</w:t>
      </w:r>
    </w:p>
    <w:p>
      <w:r>
        <w:t xml:space="preserve">2.1 Fläche auf der Amtsseite im Bereich „Steiler Aufstieg“, westlich der Bergstraße (unterhalb der Bergstraße), nordwestlich bis zum „Burkhardtweg“.</w:t>
      </w:r>
    </w:p>
    <w:p>
      <w:r>
        <w:t xml:space="preserve">Diese Fläche umfasst folgende Flurstücke:</w:t>
      </w:r>
    </w:p>
    <w:p>
      <w:r>
        <w:t xml:space="preserve">35, 55, 290, 291 teilweise, 293, 294, 295/6 teilweise, 297/6 teilweise, 314/6 teilweise, 357, 359 teilweise, 360/1 teilweise, 361, 362/2, 362/3, 362/4, 363, 364/1 teilweise, 364/2 teilweise und 374 teilweise.</w:t>
      </w:r>
    </w:p>
    <w:p>
      <w:r>
        <w:t xml:space="preserve">Die Größe dieser Fläche beträgt zirka 11,44 Hektar.</w:t>
      </w:r>
    </w:p>
    <w:p>
      <w:r>
        <w:t xml:space="preserve">2.2 Fläche auf der Amtsseite östlich hinter der Bebauung Bergstraße zirka 100 Meter nördlich vom Abzweig Bergstraße/Katzensteinweg.</w:t>
      </w:r>
    </w:p>
    <w:p>
      <w:r>
        <w:t xml:space="preserve">Diese Fläche umfasst folgendes Flurstück:</w:t>
      </w:r>
    </w:p>
    <w:p>
      <w:r>
        <w:t xml:space="preserve">317/8 teilweise.</w:t>
      </w:r>
    </w:p>
    <w:p>
      <w:r>
        <w:t xml:space="preserve">Die Größe dieser Fläche beträgt zirka 1,04 Hektar.</w:t>
      </w:r>
    </w:p>
    <w:p>
      <w:r>
        <w:t xml:space="preserve">2.3 Fläche auf der Amtsseite östlich hinter der Bebauung Bergstraße, nördlich der unter Nummer 2.2 genannten Fläche und zirka 200 Meter südlich der Straße zum Hinteren Grund.</w:t>
      </w:r>
    </w:p>
    <w:p>
      <w:r>
        <w:t xml:space="preserve">Diese Fläche umfasst folgende Flurstücke:</w:t>
      </w:r>
    </w:p>
    <w:p>
      <w:r>
        <w:t xml:space="preserve">277/3 teilweise, 280/3 teilweise, 283/1 teilweise, 303 teilweise, 305a und 307/8 teilweise.</w:t>
      </w:r>
    </w:p>
    <w:p>
      <w:r>
        <w:t xml:space="preserve">Die Größe dieser Fläche beträgt zirka 6,0 Hektar.</w:t>
      </w:r>
    </w:p>
    <w:p>
      <w:r>
        <w:t xml:space="preserve">(2) Gemarkung Rittersberg:</w:t>
      </w:r>
    </w:p>
    <w:p>
      <w:r>
        <w:t xml:space="preserve">Nachfolgende Flächen werden aus der Schutzzone II in die Entwicklungszone überführt:</w:t>
      </w:r>
    </w:p>
    <w:p>
      <w:r>
        <w:t xml:space="preserve">1. Fläche im nördlichen Bereich der Siedlung an der „Marienberger Straße“.</w:t>
      </w:r>
    </w:p>
    <w:p>
      <w:r>
        <w:t xml:space="preserve">Diese Fläche umfasst folgende Flurstücke:</w:t>
      </w:r>
    </w:p>
    <w:p>
      <w:r>
        <w:t xml:space="preserve">109/2 teilweise, 110/3 teilweise und 110/4 teilweise.</w:t>
      </w:r>
    </w:p>
    <w:p>
      <w:r>
        <w:t xml:space="preserve">Die Größe dieser Fläche beträgt zirka 0,17 Hektar.</w:t>
      </w:r>
    </w:p>
    <w:p>
      <w:r>
        <w:t xml:space="preserve">2. Fläche im westlichen Bereich der Siedlung an der östlichen Seite des Scheibenweges.</w:t>
      </w:r>
    </w:p>
    <w:p>
      <w:r>
        <w:t xml:space="preserve">Diese Fläche umfasst folgende Flurstücke:</w:t>
      </w:r>
    </w:p>
    <w:p>
      <w:r>
        <w:t xml:space="preserve">87/2, 87/3, 87/4, 88 teilweise, 90/2, 90/3 teilweise, 90/5 teilweise, 90/6 teilweise, 92 teilweise, 93/6 teilweise, 145 teilweise und 182 teilweise.</w:t>
      </w:r>
    </w:p>
    <w:p>
      <w:r>
        <w:t xml:space="preserve">Die Größe dieser Fläche beträgt zirka 2,2 Hektar.</w:t>
      </w:r>
    </w:p>
    <w:p>
      <w:r>
        <w:t xml:space="preserve">(3) Die Änderungen der Grenze zwischen der Entwicklungszone und der Schutzzone II auf den unter den Absätzen 1 und 2 aufgeführten Flächen sind in einer Flurkarte des Regierungspräsidiums Chemnitz vom 7. März 2006 im Maßstab 1 : 3 500 mit einer violett gefärbten Linie eingetragen.</w:t>
      </w:r>
    </w:p>
    <w:p>
      <w:r>
        <w:t xml:space="preserve">Die Lage der von der Änderung betroffenen Flächen im Landschaftsraum ist außerdem in einer topographischen Übersichtskarte des Regierungspräsidiums Chemnitz vom 7. März 2006 im Maßstab 1 : 25 000 mit Kreissymbolen lokalisiert.</w:t>
      </w:r>
    </w:p>
    <w:p>
      <w:r>
        <w:t xml:space="preserve">Die Flurkarte und die topographische Übersichtskarte sind Bestandteile dieser Verordnung.</w:t>
      </w:r>
    </w:p>
    <w:p>
      <w:r>
        <w:t xml:space="preserve">(4) Die Flurkarte nach Absatz 3 wird im Regierungspräsidium Chemnitz in Chemnitz, Altchemnitzer Straße 41, Zimmer 314, auf die Dauer von zwei Wochen, beginnend am Tag nach der Verkündung dieser Verordnung im Sächsischen Gesetz- und Verordnungsblatt, zur kostenlosen Einsicht durch jedermann während der Sprechzeiten öffentlich ausgelegt.</w:t>
      </w:r>
    </w:p>
    <w:p>
      <w:r>
        <w:t xml:space="preserve">(5) Die Verordnung mit Karten ist nach Ablauf der Auslegungsfrist im Regierungspräsidium Chemnitz unter der in Absatz 4 aufgeführten Adresse in Zimmer 302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SN-5022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