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SN-5021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„Winzerwiese und Gosebruch“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 Gleichzeitig tritt die Anordnung Nummer 3 über Naturschutzgebiete vom 11. September 1967 des Vorsitzenden des Landwirtschaftsrates der DDR (GBl. DDR II, S. 697) außer Kraft, soweit sie das Naturschutzgebiet „Winzerwiese“ betrifft.</w:t>
      </w:r>
    </w:p>
    <w:p>
      <w:r>
        <w:t xml:space="preserve">Dresden, den 6. Januar 2006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SN-5021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