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SN-5020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„Elbinseln Pillnitz und Gauernitz“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 16 und § 50 Abs. 1 Nr. 2 des Sächsischen Gesetzes über Naturschutz und Landschaftspflege (Sächsisches Naturschutzgesetz – SächsNatSchG ) in der Fassung der Bekanntmachung vom 11. Oktober 1994 (SächsGVBl. S. 1601, 1995 S. 106), das zuletzt durch Artikel 1 des Gesetzes vom 9. September 2005 (SächsGVBl. S. 259) geändert worden ist, und § 32 Abs. 1 des Sächsischen Landesjagdgesetzes (SächsLJagdG) vom 8. Mai 1991 (SächsGVBl. S. 67), das zuletzt durch Artikel 5 des Gesetzes vom 22. April 2005 (SächsGVBl. S. 121, 124) geändert worden ist,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SN-5020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