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SN-5020 (Sachsen) — Zulässige Handlungen</w:t>
      </w:r>
    </w:p>
    <w:p>
      <w:r>
        <w:rPr>
          <w:color w:val="555555"/>
          <w:sz w:val="18"/>
        </w:rPr>
        <w:t xml:space="preserve">Verordnung des Regierungspräsidiums Dresden zur Festsetzung des Naturschutzgebietes „Elbinseln Pillnitz und Gauernitz“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4 gilt nicht</w:t>
      </w:r>
    </w:p>
    <w:p>
      <w:r>
        <w:t xml:space="preserve">1. für die dem Schutzzweck untergeordnete Ausübung der Jagd mit den Maßgaben, dass</w:t>
      </w:r>
    </w:p>
    <w:p>
      <w:r>
        <w:t xml:space="preserve">a)</w:t>
      </w:r>
    </w:p>
    <w:p>
      <w:r>
        <w:t xml:space="preserve">die Baujagd und die Totfallenjagd sowie die Jagd auf Federwild verboten ist,</w:t>
      </w:r>
    </w:p>
    <w:p>
      <w:r>
        <w:t xml:space="preserve">b)</w:t>
      </w:r>
    </w:p>
    <w:p>
      <w:r>
        <w:t xml:space="preserve">die Jagd nur aus Gründen des Jagdschutzes oder zur Verhinderung übermäßigen Wildschadens als Ansitz- oder Drückjagd im Zeitraum vom 1. Oktober bis zum 31. Januar eines jeden Jahres durchgeführt werden darf; außerhalb dieses Zeitraumes bedarf sie der Genehmigung der Naturschutzbehörde;</w:t>
      </w:r>
    </w:p>
    <w:p>
      <w:r>
        <w:t xml:space="preserve">c)</w:t>
      </w:r>
    </w:p>
    <w:p>
      <w:r>
        <w:t xml:space="preserve">nur zeitweilig mobile Jagdeinrichtungen mit Genehmigung durch die Naturschutzbehörde verwendet werden dürfen; die Anlage von Wildfütterungen, Wildäckern, Kirrungen oder sonstigen ortsfesten Jagdeinrichtungen ist verboten;</w:t>
      </w:r>
    </w:p>
    <w:p>
      <w:r>
        <w:t xml:space="preserve">2. für Pflege- und Entwicklungsmaßnahmen gemäß § 6 mit der Maßgabe, dass</w:t>
      </w:r>
    </w:p>
    <w:p>
      <w:r>
        <w:t xml:space="preserve">a)</w:t>
      </w:r>
    </w:p>
    <w:p>
      <w:r>
        <w:t xml:space="preserve">alle Maßnahmen nur im Zeitraum vom 1. Oktober bis zum 31. Januar eines jeden Jahres und nur mit Genehmigung oder auf Veranlassung der Naturschutzbehörde durchgeführt werden dürfen;</w:t>
      </w:r>
    </w:p>
    <w:p>
      <w:r>
        <w:t xml:space="preserve">b)</w:t>
      </w:r>
    </w:p>
    <w:p>
      <w:r>
        <w:t xml:space="preserve">totholz-, mulm-, höhlen- oder spaltenreiche Einzelbäume erhalten bleiben;</w:t>
      </w:r>
    </w:p>
    <w:p>
      <w:r>
        <w:t xml:space="preserve">3. für die sonstige bisher rechtmäßig ausgeübte Nutzung der Elbe sowie deren Unterhaltung;</w:t>
      </w:r>
    </w:p>
    <w:p>
      <w:r>
        <w:t xml:space="preserve">4. für behördlich angeordnete oder zugelassene Beschilderungen;</w:t>
      </w:r>
    </w:p>
    <w:p>
      <w:r>
        <w:t xml:space="preserve">5. für Tätigkeiten im Rahmen von Forschungsarbeiten einschließlich Dokumentationen und Sicherungsarbeiten, die von der Naturschutzbehörde veranlasst oder genehmigt werden oder</w:t>
      </w:r>
    </w:p>
    <w:p>
      <w:r>
        <w:t xml:space="preserve">6. für das Betreten der Elbinsel Gauernitz zum Zweck der Unterhaltung oder Erhaltung der Kanu-Slalom-Seilstrecke im Zeitraum vom 1. Oktober bis zum 31. Januar nach Anzeige bei der Naturschutzbehörde, im übrigen Zeitraum nach Genehmigung durch die Naturschutzbehörde.</w:t>
      </w:r>
    </w:p>
    <w:p>
      <w:r>
        <w:rPr>
          <w:color w:val="555555"/>
          <w:sz w:val="17"/>
        </w:rPr>
        <w:t xml:space="preserve">Zitiervorschlag: § 5 SN-5020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https://recht.nulegal.eu/gesetze/SN-5020/5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