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SN-5020 (Sachsen) — Verbote</w:t>
      </w:r>
    </w:p>
    <w:p>
      <w:r>
        <w:rPr>
          <w:color w:val="555555"/>
          <w:sz w:val="18"/>
        </w:rPr>
        <w:t xml:space="preserve">Verordnung des Regierungspräsidiums Dresden zur Festsetzung des Naturschutzgebietes „Elbinseln Pillnitz und Gauernitz“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verboten,</w:t>
      </w:r>
    </w:p>
    <w:p>
      <w:r>
        <w:t xml:space="preserve">1. das Schutzgebiet zu betreten,</w:t>
      </w:r>
    </w:p>
    <w:p>
      <w:r>
        <w:t xml:space="preserve">2. mit Wasserfahrzeugen anzulanden oder</w:t>
      </w:r>
    </w:p>
    <w:p>
      <w:r>
        <w:t xml:space="preserve">3. im Schutzgebiet Hunde laufen zu lassen.</w:t>
      </w:r>
    </w:p>
    <w:p>
      <w:r>
        <w:rPr>
          <w:color w:val="555555"/>
          <w:sz w:val="17"/>
        </w:rPr>
        <w:t xml:space="preserve">Zitiervorschlag: § 4 SN-5020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https://recht.nulegal.eu/gesetze/SN-5020/4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