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SN-5019 (Sachsen)</w:t>
      </w:r>
    </w:p>
    <w:p>
      <w:r>
        <w:rPr>
          <w:color w:val="555555"/>
          <w:sz w:val="18"/>
        </w:rPr>
        <w:t xml:space="preserve">Verordnung des Regierungspräsidiums Chemnitz zur Festsetzung des Naturschutzgebiets „Waschteich Reuth“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22a Abs. 1, 2 und § 50 Abs. 1 Nr. 2 des Sächsischen Gesetzes über Naturschutz und Landschaftspflege (Sächsisches Naturschutzgesetz – SächsNatSchG ) in der Fassung der Bekanntmachung vom 11. Oktober 1994 (SächsGVBl. S. 1601, 1995 S. 106), das zuletzt durch Artikel 1 des Gesetzes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