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SN-5019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Aufstellung von jagdlichen Hochsitzen oder Kanzeln bedarf der schriftlichen Erlaubnis der unteren Naturschutzbehörde.</w:t>
      </w:r>
    </w:p>
    <w:p>
      <w:r>
        <w:t xml:space="preserve">(2) Die Erlaubnis ist zu erteilen, wenn die Handlung den Schutzzweck nach § 3 nicht beeinträchtigt und Wirkungen der in § 4 genannten Arten nicht zur Folge hat oder solche Wirkungen durch Nebenbestimmungen abgewendet werden können.</w:t>
      </w:r>
    </w:p>
    <w:p>
      <w:r>
        <w:rPr>
          <w:color w:val="555555"/>
          <w:sz w:val="17"/>
        </w:rPr>
        <w:t xml:space="preserve">Zitiervorschlag: § 5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