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SN-5015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und Entwicklung eines repräsentativen Ausschnitts des größten zusammenhängenden natürlichen Fichtenwaldgebiets des Freistaates Sachsen und der für die Umgebung der Hochmoore typischen Abfolge aus Rauschbeeren-Fichten-Moorwald (Vaccinio uliginosi-Piceetum), Torfmoos-Fichtenwald (Calamagrostis villosae-Piceetum sphagnetosum) und Wollreitgras-Fichtenwald (Calamagrostio villosae-Piceetum); auch unter Beachtung der Anforderungen der Richtlinie 92/43/EWG des Rates vom 21. Mai 1992 zur Erhaltung der natürlichen Lebensräume sowie der wildlebenden Tiere und Pflanzen (Fauna-Flora-Habitat-Richtlinie – FFH-RL) (ABl. EG Nr. L 206 S. 7, 1996 Nr. L 59 S. 63), zuletzt geändert durch Verordnung (EG) Nr. 1882/2003 des Europäischen Parlaments und des Rates vom 29. September 2003 (ABl. EU Nr. L 284 S. 1), sowie der Richtlinie 79/409/EWG des Rates vom 2. April 1979 über die Erhaltung der wildlebenden Vogelarten (ABl. EG Nr. L 103 S. 1), zuletzt geändert durch Richtlinie 97/49/EG der Kommission vom 29. Juli 1997 (ABl. EG Nr. L 223 S. 9), zur Erhaltung der Kohärenz des Schutzgebietssystems NATURA 2000 gemäß FFH-RL;</w:t>
      </w:r>
    </w:p>
    <w:p>
      <w:r>
        <w:t xml:space="preserve">2. die Erhaltung, zielgerichtete Weiterentwicklung sowie Wiederherstellung eines günstigen Erhaltungszustands der im Naturschutzgebiet vorkommenden Lebensraumtypen nach Anhang I der FFH-RL, insbesondere der</w:t>
      </w:r>
    </w:p>
    <w:p>
      <w:r>
        <w:t xml:space="preserve">•</w:t>
      </w:r>
    </w:p>
    <w:p>
      <w:r>
        <w:t xml:space="preserve">Bodensauren Fichtenwälder (NATURA-2000-Code 9410),</w:t>
      </w:r>
    </w:p>
    <w:p>
      <w:r>
        <w:t xml:space="preserve">•</w:t>
      </w:r>
    </w:p>
    <w:p>
      <w:r>
        <w:t xml:space="preserve">Fichten-Moorwälder (NATURA-2000-Code 91D4, prioritärer Lebensraumtyp),</w:t>
      </w:r>
    </w:p>
    <w:p>
      <w:r>
        <w:t xml:space="preserve">•</w:t>
      </w:r>
    </w:p>
    <w:p>
      <w:r>
        <w:t xml:space="preserve">Bergkiefern-Moorwälder (NATURA-2000-Code 91D3, prioritärer Lebensraumtyp),</w:t>
      </w:r>
    </w:p>
    <w:p>
      <w:r>
        <w:t xml:space="preserve">•</w:t>
      </w:r>
    </w:p>
    <w:p>
      <w:r>
        <w:t xml:space="preserve">Lebenden Hochmoore (NATURA-2000-Code 7110, prioritärer Lebensraumtyp),</w:t>
      </w:r>
    </w:p>
    <w:p>
      <w:r>
        <w:t xml:space="preserve">•</w:t>
      </w:r>
    </w:p>
    <w:p>
      <w:r>
        <w:t xml:space="preserve">Berg-Mähwiesen (NATURA-2000-Code 6520);</w:t>
      </w:r>
    </w:p>
    <w:p>
      <w:r>
        <w:t xml:space="preserve">3. die Erhaltung und Entwicklung eines günstigen Erhaltungszustands der im Naturschutzgebiet vorkommenden Populationen von Pflanzenarten, insbesondere Rosmarinheide, Moosbeere, Armblütige Segge, Schlammsegge, Schwarze Krähenbeere, Rauschbeere, Arnika und Bärwurz sowie von Flechten- und Moosarten, beispielsweise Cladonia rangiferina, Cladonia elongata, Sphagnum fuscum, Hylocomium splendens und Barbilophozia lycopodioides;</w:t>
      </w:r>
    </w:p>
    <w:p>
      <w:r>
        <w:t xml:space="preserve">4. die Erhaltung und Entwicklung eines günstigen Erhaltungszustands der im Naturschutzgebiet vorkommenden Populationen von Tierarten, insbesondere Sperlingskauz, Tannenhäher, Alpenbirkenzeisig, Schwarzspecht, Rauhfußkauz, Auerhuhn, Alpen-Smaragdlibelle, Arktische Smaragdlibelle, Hochmoor Mosaikjungfer und Kreuzotter, sowie ihrer für die Fortpflanzung, Ernährung, die Migration, den Durchzug und die Überwinterung dienenden Habitate;</w:t>
      </w:r>
    </w:p>
    <w:p>
      <w:r>
        <w:t xml:space="preserve">5. die Erhaltung und Wiederherstellung der Unzerschnittenheit und funktionalen Zusammengehörigkeit des Lebensraumgefüges des Naturschutzgebiets, insbesondere unter dem Aspekt eines ausreichenden Angebots an Naturverjüngung sowie stehendem und liegendem Totholz;</w:t>
      </w:r>
    </w:p>
    <w:p>
      <w:r>
        <w:t xml:space="preserve">6. die Erhaltung des Gebiets als Genressource des autochthonen Vorkommens der Carlsfelder Hochlagenfichte.</w:t>
      </w:r>
    </w:p>
    <w:p>
      <w:r>
        <w:rPr>
          <w:color w:val="555555"/>
          <w:sz w:val="17"/>
        </w:rPr>
        <w:t xml:space="preserve">Zitiervorschlag: § 3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