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SN-5015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Ablauf der Auslegungsfrist gemäß § 2 Abs. 6 in Kraft.</w:t>
      </w:r>
    </w:p>
    <w:p>
      <w:r>
        <w:t xml:space="preserve">Chemnitz, den 31. August 2005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10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