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SN-5015 (Sachsen) — Festsetzung als Schutzgebiet</w:t>
      </w:r>
    </w:p>
    <w:p>
      <w:r>
        <w:rPr>
          <w:color w:val="555555"/>
          <w:sz w:val="18"/>
        </w:rPr>
        <w:t xml:space="preserve">Verordnung des Regierungspräsidiums Chemnitz zur Festsetzung des Naturschutzgebiets „Großer Kranichsee“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den Gebieten der Gemeinde Morgenröthe-Rautenkranz und der Stadt Eibenstock, Ortsteile Carlsfeld und Wildenthal, werden als Naturschutzgebiet festgesetzt. Das Naturschutzgebiet führt die Bezeichnung „Großer Kranichsee“.</w:t>
      </w:r>
    </w:p>
    <w:p>
      <w:r>
        <w:rPr>
          <w:color w:val="555555"/>
          <w:sz w:val="17"/>
        </w:rPr>
        <w:t xml:space="preserve">Zitiervorschlag: § 1 SN-5015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