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SN-5014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 nach Ablauf der Auslegungsfrist in Kraft.</w:t>
      </w:r>
    </w:p>
    <w:p>
      <w:r>
        <w:t xml:space="preserve">Leipzig, den 15. Juli 2005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