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SN-5008 (Sachsen) — In-Kraft-Treten und Außer-Kraft-Treten</w:t>
      </w:r>
    </w:p>
    <w:p>
      <w:r>
        <w:rPr>
          <w:color w:val="555555"/>
          <w:sz w:val="18"/>
        </w:rPr>
        <w:t xml:space="preserve">Verordnung des Regierungspräsidiums Dresden zur Festsetzung des Naturschutzgebietes „Spannteich Knappenrode“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gemäß § 2 Abs. 3 Satz 4 in Kraft. Gleichzeitig tritt der Beschluss des Bezirkstages Cottbus Nummer 75/81 vom 25. März 1981 außer Kraft.</w:t>
      </w:r>
    </w:p>
    <w:p>
      <w:r>
        <w:t xml:space="preserve">Dresden, den 13. Mai 2005</w:t>
      </w:r>
    </w:p>
    <w:p>
      <w:r>
        <w:t xml:space="preserve">Regierungspräsidium Dresden</w:t>
      </w:r>
    </w:p>
    <w:p>
      <w:r>
        <w:t xml:space="preserve">Dr. Hasenpflug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9 SN-5008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https://recht.nulegal.eu/gesetze/SN-5008/9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