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SN-5008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„Spannteich Knappenrode“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Grundsätze und Ziele der Pflege und Entwicklung des Naturschutzgebietes sind:</w:t>
      </w:r>
    </w:p>
    <w:p>
      <w:r>
        <w:t xml:space="preserve">der Erhalt und die Vergrößerung von Uferwiesen und Offenflächen, insbesondere trockenwarmer Standorte (auch auf beziehungsweise an Waldwegen);</w:t>
      </w:r>
    </w:p>
    <w:p>
      <w:r>
        <w:t xml:space="preserve">der Erhalt und die Vergrößerung von Vorkommen seltener Pflanzen;</w:t>
      </w:r>
    </w:p>
    <w:p>
      <w:r>
        <w:t xml:space="preserve">der naturnahe Umbau der forstlichen Monokulturen auf Basis der Waldbaugrundsätze für den Staatswald des Freistaates Sachsen (Sächsisches Staatsministerium für Umwelt und Landwirtschaft 1999);</w:t>
      </w:r>
    </w:p>
    <w:p>
      <w:r>
        <w:t xml:space="preserve">die Gewährleistung einer ständigen Wasserführung im Schwarzen Graben und im Spannteich mit seinem Grabensystem;</w:t>
      </w:r>
    </w:p>
    <w:p>
      <w:r>
        <w:t xml:space="preserve">der Erhalt und die Optimierung der Habitate seltener Vogelarten;</w:t>
      </w:r>
    </w:p>
    <w:p>
      <w:r>
        <w:t xml:space="preserve">der Erhalt einer unbewirtschafteten Wasserfläche mit circa 40 % freier Wasserfläche durch bedarfsweise, azyklische Schilfmahd;</w:t>
      </w:r>
    </w:p>
    <w:p>
      <w:r>
        <w:t xml:space="preserve">Duldung einer natürlichen Regulation des Fischbestandes mit der Zielstellung, gefährdete Fischarten eutropher Stillgewässer über natürliche Einwanderungen anzusiedeln.</w:t>
      </w:r>
    </w:p>
    <w:p>
      <w:r>
        <w:t xml:space="preserve">(2) Die erforderlichen Pflege- und Entwicklungsmaßnahmen können in einem Pflege- und Entwicklungsplan festgelegt werden. Auf § 15 Abs. 5, §§ 38 und 39 --&gt;SächsNatSchG --&gt; wird verwiesen.</w:t>
      </w:r>
    </w:p>
    <w:p>
      <w:r>
        <w:rPr>
          <w:color w:val="555555"/>
          <w:sz w:val="17"/>
        </w:rPr>
        <w:t xml:space="preserve">Zitiervorschlag: § 6 SN-5008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https://recht.nulegal.eu/gesetze/SN-5008/6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