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SN-5002 (Sachsen)</w:t>
      </w:r>
    </w:p>
    <w:p>
      <w:r>
        <w:rPr>
          <w:color w:val="555555"/>
          <w:sz w:val="18"/>
        </w:rPr>
        <w:t xml:space="preserve">Verordnung des Regierungspräsidiums Chemnitz zur Festsetzung des Naturschutzgebiets „Halbmeiler Wiesen“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Anlage 2</w:t>
      </w:r>
    </w:p>
    <w:p>
      <w:r>
        <w:t xml:space="preserve">Flurkarte</w:t>
      </w:r>
    </w:p>
    <w:p>
      <w:r>
        <w:rPr>
          <w:color w:val="555555"/>
          <w:sz w:val="17"/>
        </w:rPr>
        <w:t xml:space="preserve">Zitiervorschlag: Anlage 2 SN-5002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https://recht.nulegal.eu/gesetze/SN-5002/anlage-2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