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SN-5002 (Sachsen) — Grundzüge der Pflege- und Entwicklung</w:t>
      </w:r>
    </w:p>
    <w:p>
      <w:r>
        <w:rPr>
          <w:color w:val="555555"/>
          <w:sz w:val="18"/>
        </w:rPr>
        <w:t xml:space="preserve">Verordnung des Regierungspräsidiums Chemnitz zur Festsetzung des Naturschutzgebiets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Sicherung eines intakten Wasserhaushalts;</w:t>
      </w:r>
    </w:p>
    <w:p>
      <w:r>
        <w:t xml:space="preserve">Pflege von Bergwiesen, Borstgrasrasen, Feucht- und Nasswiesen mittels örtlich und zeitlich angepasster Mahd;</w:t>
      </w:r>
    </w:p>
    <w:p>
      <w:r>
        <w:t xml:space="preserve">Durchführung von Maßnahmen zur Begrenzung der Sukzession auf Offenlandflächen;</w:t>
      </w:r>
    </w:p>
    <w:p>
      <w:r>
        <w:t xml:space="preserve">Durchführung von Artenhilfsmaßnahmen für überregional bedeutsame Arten, unter anderem zur Erhaltung des Katzenpfötchenbestands;</w:t>
      </w:r>
    </w:p>
    <w:p>
      <w:r>
        <w:t xml:space="preserve">Erhaltung des vorhandenen Knüppelwegs für die Durchführung von Pflegemaßnahmen.</w:t>
      </w:r>
    </w:p>
    <w:p>
      <w:r>
        <w:t xml:space="preserve">Detailliertere Maßnahmen zur Erhaltung, Wiederherstellung und Entwicklung werden in einem Managementplan für das unter § 2 Abs. 5 genannte FFH-Gebiet festgelegt.</w:t>
      </w:r>
    </w:p>
    <w:p>
      <w:r>
        <w:rPr>
          <w:color w:val="555555"/>
          <w:sz w:val="17"/>
        </w:rPr>
        <w:t xml:space="preserve">Zitiervorschlag: § 7 SN-5002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https://recht.nulegal.eu/gesetze/SN-5002/7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