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SN-5002 (Sachsen) — Zulässige Handlungen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Ausgenommen von den Verboten nach § 4 und den Erlaubnisvorbehalten nach § 5 dieser Verordnung sind:</w:t>
      </w:r>
    </w:p>
    <w:p>
      <w:r>
        <w:t xml:space="preserve">die umweltgerechte Landwirtschaft in ihrer bisherigen Art und in ihrem bisherigen Umfang mit folgenden Maßgaben: Düngung mit bis zu 15 Tonnen Festmist je Hektar höchstens aller zwei Jahre auf dem Flurstück 796/3 und nördlich vom Bach auf dem Flurstück 789;</w:t>
      </w:r>
    </w:p>
    <w:p>
      <w:r>
        <w:t xml:space="preserve">Nachbeweidung mit Rindern oder Schafen mit maximal einer Großvieheinheit pro Hektar auf dem Flurstück 789;</w:t>
      </w:r>
    </w:p>
    <w:p>
      <w:r>
        <w:t xml:space="preserve">Bewirtschaftung als Mähweide mit maximal einer Großvieheinheit (Rinder, Schafe) pro Hektar auf den Flurstücken 796/3 und 798/3;</w:t>
      </w:r>
    </w:p>
    <w:p>
      <w:r>
        <w:t xml:space="preserve">Mahd auf den Flurstücken 789 und 796/3 bereits ab 20. Juni.</w:t>
      </w:r>
    </w:p>
    <w:p>
      <w:r>
        <w:t xml:space="preserve">Die die Landwirtschaft betreffenden Verbote gelten im Übrigen nicht für Flächen, auf denen ein gleichartiges naturschutzverträgliches Nutzungsregime aufgrund vertraglicher Regelungen mit der Naturschutzbehörde erreicht wird.</w:t>
      </w:r>
    </w:p>
    <w:p>
      <w:r>
        <w:t xml:space="preserve">die Nutzung und die Erhaltung von Ver- und Entsorgungsleitungen in ihrer bisherigen Art und in ihrem bisherigen Umfang;</w:t>
      </w:r>
    </w:p>
    <w:p>
      <w:r>
        <w:t xml:space="preserve">die ordnungsgemäße und dem Schutzzweck untergeordnete Ausübung der Jagd;</w:t>
      </w:r>
    </w:p>
    <w:p>
      <w:r>
        <w:t xml:space="preserve">die von den zuständigen Naturschutzbehörden angeordneten oder in Auftrag gegebenen Pflege- und Entwicklungsmaßnahmen einschließlich der erforderlichen Beobachtungen, Untersuchungen und Erfolgskontrollen sowie Einrichtungen der Besucherinformation;</w:t>
      </w:r>
    </w:p>
    <w:p>
      <w:r>
        <w:t xml:space="preserve">Vermessungsarbeiten nach den jeweils geltenden vermessungsrechtlichen Bestimmungen mit der Maßgabe, dass diese der örtlich zuständigen unteren Naturschutzbehörde zwei Wochen zuvor schriftlich anzuzeigen sind;</w:t>
      </w:r>
    </w:p>
    <w:p>
      <w:r>
        <w:t xml:space="preserve">das Betreten des auf Teilfläche 2 entlang der deutsch-tschechischen Grenze angelegten Knüppelwegs.</w:t>
      </w:r>
    </w:p>
    <w:p>
      <w:r>
        <w:rPr>
          <w:color w:val="555555"/>
          <w:sz w:val="17"/>
        </w:rPr>
        <w:t xml:space="preserve">Zitiervorschlag: § 6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