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SN-5002 (Sachsen) — Erlaubnisvorbehalt</w:t>
      </w:r>
    </w:p>
    <w:p>
      <w:r>
        <w:rPr>
          <w:color w:val="555555"/>
          <w:sz w:val="18"/>
        </w:rPr>
        <w:t xml:space="preserve">Verordnung des Regierungspräsidiums Chemnitz zur Festsetzung des Naturschutzgebiets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Maßnahmen, die ebenfalls nachteilige Auswirkungen auf den Schutzzweck nach § 3 des Schutzgebiets haben können, bedürfen der schriftlichen Erlaubnis der unteren Naturschutzbehörde:</w:t>
      </w:r>
    </w:p>
    <w:p>
      <w:r>
        <w:t xml:space="preserve">die Errichtung von Jagdeinrichtungen;</w:t>
      </w:r>
    </w:p>
    <w:p>
      <w:r>
        <w:t xml:space="preserve">die Mahd von Wiesen vor dem 1. Juli eines jeden Jahres;</w:t>
      </w:r>
    </w:p>
    <w:p>
      <w:r>
        <w:t xml:space="preserve">die Kalkung auf den Flurstücken 789 und 796/3.</w:t>
      </w:r>
    </w:p>
    <w:p>
      <w:r>
        <w:t xml:space="preserve">(2) Die Erlaubnis ist zu erteilen, wenn die Handlung den Schutzzweck nach § 3 nicht beeinträchtigt oder diesem zugute kommt und Wirkungen der in § 4 genannten Art nicht zur Folge hat oder solche Wirkungen durch Nebenbestimmungen abgewendet werden können.</w:t>
      </w:r>
    </w:p>
    <w:p>
      <w:r>
        <w:rPr>
          <w:color w:val="555555"/>
          <w:sz w:val="17"/>
        </w:rPr>
        <w:t xml:space="preserve">Zitiervorschlag: § 5 SN-5002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https://recht.nulegal.eu/gesetze/SN-5002/5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