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SN-4997 (Sachsen) — Gegenstand der Umzonierung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Großrückerswalde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Eine Fläche der Gemarkung Mauersberg unmittelbar angrenzend an die Gemarkung Niederschmiedeberg nördlich des als „Siedlung“ bezeichneten Ortsteils von Niederschmiedeberg.</w:t>
      </w:r>
    </w:p>
    <w:p>
      <w:r>
        <w:t xml:space="preserve">Die Fläche wird aus der Schutzzone II in die Entwicklungszone überführt (umzoniert).</w:t>
      </w:r>
    </w:p>
    <w:p>
      <w:r>
        <w:t xml:space="preserve">Die Fläche umfasst in der Gemarkung Mauersberg folgende Flurstücke:</w:t>
      </w:r>
    </w:p>
    <w:p>
      <w:r>
        <w:t xml:space="preserve">471/3, 471/4, 471/5, 471/6, 471/10, 471/11 teilweise und 471/12.</w:t>
      </w:r>
    </w:p>
    <w:p>
      <w:r>
        <w:t xml:space="preserve">Die Größe der umzonierten Fläche beträgt 0,45 ha.</w:t>
      </w:r>
    </w:p>
    <w:p>
      <w:r>
        <w:t xml:space="preserve">2. Die geänderte Naturparkgrenze mit den Flächen nach Absatz 1 sind in der Flurkarte des Regierungspräsidiums Chemnitz vom 20. Dezember 2004 im Maßstab 1:2 730 mit einer violett gefärbten Linie eingetragen.</w:t>
      </w:r>
    </w:p>
    <w:p>
      <w:r>
        <w:t xml:space="preserve">3. Die ungefähre Lage der Umzonierungsfläche ist in einer topographischen Übersichtskarte des Regierungspräsidiums Chemnitz vom 20. Dezember 2004 im Maßstab 1:25 000 mit einem Kreissymbol lokalisiert.</w:t>
      </w:r>
    </w:p>
    <w:p>
      <w:r>
        <w:t xml:space="preserve">4. Die Flurkarte und die Übersichtskarte sind Bestandteil dieser Verordnung.</w:t>
      </w:r>
    </w:p>
    <w:p>
      <w:r>
        <w:rPr>
          <w:color w:val="555555"/>
          <w:sz w:val="17"/>
        </w:rPr>
        <w:t xml:space="preserve">Zitiervorschlag: § 2 SN-4997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