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SN-4990 (Sachsen)</w:t>
      </w:r>
    </w:p>
    <w:p>
      <w:r>
        <w:rPr>
          <w:color w:val="555555"/>
          <w:sz w:val="18"/>
        </w:rPr>
        <w:t xml:space="preserve">Verordnung des Regierungspräsidiums Chemnitz zur Änderung des Landschaftsschutzgebietes „Mulden- und Chemnitztal“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19 und § 48 Abs. 2 Nr. 1 des Sächsischen Gesetzes über Naturschutz und Landschaftspflege (Sächsisches Naturschutzgesetz – SächsNatSchG ) in der Fassung der Bekanntmachung vom 11. Oktober 1994 (SächsGVBl. S. 1601, 1995 S. 106), das zuletzt durch Artikel 7 des Gesetzes vom 5. Mai 2004 (SächsGVBl. S. 148, 151) geändert worden ist, wird verordnet:</w:t>
      </w:r>
    </w:p>
    <w:p>
      <w:r>
        <w:rPr>
          <w:color w:val="555555"/>
          <w:sz w:val="17"/>
        </w:rPr>
        <w:t xml:space="preserve">Zitiervorschlag: Eingangsformel SN-4990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https://recht.nulegal.eu/gesetze/SN-4990/eingangsformel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