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SN-4990 (Sachsen) — Änderung der Schutzvorschrift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durch Beschluss Nummer 165/68 vom 12. Juli 1968 des Rates des Bezirkes Karl-Marx-Stadt festgesetzte und durch Verwaltungsanordnung Nummer 03/90 vom 27. August 1990 des Regierungsbevollmächtigten von Chemnitz erweiterte Landschaftsschutzgebiet „Mulden- und Chemnitztal“ wird wie folgt geändert:</w:t>
      </w:r>
    </w:p>
    <w:p>
      <w:r>
        <w:t xml:space="preserve">Die in § 2 näher bezeichnete Fläche auf dem Gebiet des Ortsteils Dürrenuhlsdorf der Stadt Waldenburg im Landkreis Chemnitzer Land wird aus dem Landschaftsschutzgebiet „Mulden- und Chemnitztal“ ausgegliedert.</w:t>
      </w:r>
    </w:p>
    <w:p>
      <w:r>
        <w:rPr>
          <w:color w:val="555555"/>
          <w:sz w:val="17"/>
        </w:rPr>
        <w:t xml:space="preserve">Zitiervorschlag: § 1 SN-4990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https://recht.nulegal.eu/gesetze/SN-4990/1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